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253"/>
        <w:gridCol w:w="5528"/>
      </w:tblGrid>
      <w:tr w:rsidR="007507B6" w:rsidTr="007507B6">
        <w:trPr>
          <w:trHeight w:val="567"/>
        </w:trPr>
        <w:tc>
          <w:tcPr>
            <w:tcW w:w="4253" w:type="dxa"/>
            <w:hideMark/>
          </w:tcPr>
          <w:p w:rsidR="007507B6" w:rsidRDefault="007507B6">
            <w:pPr>
              <w:ind w:left="-57" w:right="-113"/>
              <w:jc w:val="center"/>
              <w:rPr>
                <w:sz w:val="24"/>
                <w:szCs w:val="24"/>
                <w:lang w:val="de-DE"/>
              </w:rPr>
            </w:pPr>
            <w:r>
              <w:rPr>
                <w:lang w:val="de-DE"/>
              </w:rPr>
              <w:t>BỘ GIÁO DỤC VÀ ĐÀO TẠO</w:t>
            </w:r>
          </w:p>
          <w:p w:rsidR="007507B6" w:rsidRDefault="007507B6">
            <w:pPr>
              <w:keepNext/>
              <w:ind w:left="-57" w:right="-113"/>
              <w:jc w:val="center"/>
              <w:outlineLvl w:val="0"/>
              <w:rPr>
                <w:b/>
                <w:bCs/>
                <w:color w:val="000000"/>
                <w:szCs w:val="26"/>
                <w:lang w:val="de-DE"/>
              </w:rPr>
            </w:pPr>
            <w:r>
              <w:rPr>
                <w:b/>
                <w:bCs/>
                <w:color w:val="000000"/>
                <w:szCs w:val="26"/>
                <w:lang w:val="de-DE"/>
              </w:rPr>
              <w:t>TRƯỜNG ĐHDL PHƯƠNG ĐÔNG</w:t>
            </w:r>
          </w:p>
          <w:p w:rsidR="007507B6" w:rsidRDefault="007507B6">
            <w:pPr>
              <w:ind w:left="-57" w:right="-113"/>
              <w:jc w:val="center"/>
              <w:rPr>
                <w:sz w:val="28"/>
                <w:szCs w:val="28"/>
                <w:lang w:val="de-DE"/>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e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HKlHHhMC&#10;AAApBAAADgAAAAAAAAAAAAAAAAAuAgAAZHJzL2Uyb0RvYy54bWxQSwECLQAUAAYACAAAACEAnZyx&#10;ddkAAAAHAQAADwAAAAAAAAAAAAAAAABtBAAAZHJzL2Rvd25yZXYueG1sUEsFBgAAAAAEAAQA8wAA&#10;AHMFAAAAAA==&#10;"/>
                  </w:pict>
                </mc:Fallback>
              </mc:AlternateContent>
            </w:r>
          </w:p>
        </w:tc>
        <w:tc>
          <w:tcPr>
            <w:tcW w:w="5528" w:type="dxa"/>
            <w:hideMark/>
          </w:tcPr>
          <w:p w:rsidR="007507B6" w:rsidRDefault="007507B6">
            <w:pPr>
              <w:ind w:left="-57" w:right="-113"/>
              <w:jc w:val="center"/>
              <w:rPr>
                <w:b/>
                <w:sz w:val="24"/>
                <w:szCs w:val="24"/>
              </w:rPr>
            </w:pPr>
            <w:r>
              <w:rPr>
                <w:b/>
              </w:rPr>
              <w:t>CỘNG HOÀ XÃ HỘI CHỦ NGHĨA VIỆT NAM</w:t>
            </w:r>
          </w:p>
          <w:p w:rsidR="007507B6" w:rsidRDefault="007507B6">
            <w:pPr>
              <w:ind w:left="-57" w:right="-113"/>
              <w:jc w:val="center"/>
              <w:rPr>
                <w:b/>
                <w:bCs/>
                <w:sz w:val="28"/>
                <w:szCs w:val="28"/>
              </w:rPr>
            </w:pPr>
            <w:r>
              <w:rPr>
                <w:b/>
                <w:bCs/>
                <w:sz w:val="28"/>
                <w:szCs w:val="28"/>
              </w:rPr>
              <w:t>Độc lập - Tự do - Hạnh phúc</w:t>
            </w:r>
          </w:p>
          <w:p w:rsidR="007507B6" w:rsidRDefault="007507B6">
            <w:pPr>
              <w:ind w:left="-57" w:right="-113"/>
              <w:jc w:val="center"/>
              <w:rPr>
                <w:sz w:val="28"/>
                <w:szCs w:val="28"/>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"/>
                  </w:pict>
                </mc:Fallback>
              </mc:AlternateContent>
            </w:r>
          </w:p>
        </w:tc>
      </w:tr>
    </w:tbl>
    <w:p w:rsidR="007507B6" w:rsidRDefault="007507B6" w:rsidP="007507B6">
      <w:pPr>
        <w:spacing w:before="120"/>
        <w:jc w:val="center"/>
        <w:rPr>
          <w:b/>
          <w:bCs/>
          <w:sz w:val="28"/>
          <w:szCs w:val="28"/>
        </w:rPr>
      </w:pPr>
    </w:p>
    <w:p w:rsidR="007507B6" w:rsidRDefault="007507B6" w:rsidP="007507B6">
      <w:pPr>
        <w:spacing w:before="120"/>
        <w:jc w:val="center"/>
        <w:rPr>
          <w:b/>
          <w:bCs/>
          <w:sz w:val="30"/>
          <w:szCs w:val="30"/>
        </w:rPr>
      </w:pPr>
      <w:r>
        <w:rPr>
          <w:b/>
          <w:bCs/>
          <w:sz w:val="30"/>
          <w:szCs w:val="30"/>
        </w:rPr>
        <w:t>QUY CHẾ</w:t>
      </w:r>
    </w:p>
    <w:p w:rsidR="007507B6" w:rsidRDefault="007507B6" w:rsidP="007507B6">
      <w:pPr>
        <w:spacing w:before="120"/>
        <w:jc w:val="center"/>
        <w:rPr>
          <w:b/>
          <w:bCs/>
          <w:sz w:val="28"/>
          <w:szCs w:val="28"/>
        </w:rPr>
      </w:pPr>
      <w:r>
        <w:rPr>
          <w:b/>
          <w:bCs/>
          <w:sz w:val="28"/>
          <w:szCs w:val="28"/>
        </w:rPr>
        <w:t>Đào tạo đại học và cao đẳng hệ chính quy theo hệ thống tín chỉ</w:t>
      </w:r>
    </w:p>
    <w:p w:rsidR="007507B6" w:rsidRDefault="007507B6" w:rsidP="007507B6">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7507B6" w:rsidRDefault="007507B6" w:rsidP="007507B6">
      <w:pPr>
        <w:spacing w:before="240" w:after="240"/>
        <w:ind w:firstLine="567"/>
        <w:jc w:val="both"/>
        <w:rPr>
          <w:b/>
          <w:bCs/>
          <w:sz w:val="28"/>
          <w:szCs w:val="28"/>
        </w:rPr>
      </w:pPr>
    </w:p>
    <w:p w:rsidR="009763B4" w:rsidRDefault="009763B4" w:rsidP="009763B4">
      <w:pPr>
        <w:spacing w:before="200" w:after="200"/>
        <w:ind w:firstLine="567"/>
        <w:jc w:val="both"/>
        <w:rPr>
          <w:sz w:val="28"/>
          <w:szCs w:val="28"/>
          <w:lang w:val="it-IT"/>
        </w:rPr>
      </w:pPr>
      <w:r>
        <w:rPr>
          <w:b/>
          <w:bCs/>
          <w:sz w:val="28"/>
          <w:szCs w:val="28"/>
        </w:rPr>
        <w:t>Điều 24. Thực tập cuối khóa, làm đồ án hoặc khoá luận tốt nghiệp</w:t>
      </w:r>
      <w:r>
        <w:rPr>
          <w:b/>
          <w:bCs/>
          <w:sz w:val="28"/>
          <w:szCs w:val="28"/>
          <w:lang w:val="it-IT"/>
        </w:rPr>
        <w:t xml:space="preserve"> </w:t>
      </w:r>
    </w:p>
    <w:p w:rsidR="009763B4" w:rsidRDefault="009763B4" w:rsidP="009763B4">
      <w:pPr>
        <w:spacing w:before="120"/>
        <w:ind w:firstLine="567"/>
        <w:jc w:val="both"/>
        <w:rPr>
          <w:sz w:val="28"/>
          <w:szCs w:val="28"/>
          <w:lang w:val="it-IT"/>
        </w:rPr>
      </w:pPr>
      <w:r>
        <w:rPr>
          <w:sz w:val="28"/>
          <w:szCs w:val="28"/>
          <w:lang w:val="it-IT"/>
        </w:rPr>
        <w:t>1. Tùy theo tính chất của ngành đào tạo và tùy theo đặc điểm quá trình học tập của sinh viên khác nhau, vào đầu học kỳ cuối cùng của khóa học, sinh viên có thể đăng ký làm đồ án tốt nghiệp hay khóa luận tốt nghiệp hoặc học thêm một số học phần chuyên môn được quy định như sau:</w:t>
      </w:r>
    </w:p>
    <w:p w:rsidR="009763B4" w:rsidRDefault="009763B4" w:rsidP="009763B4">
      <w:pPr>
        <w:spacing w:before="120"/>
        <w:ind w:firstLine="567"/>
        <w:jc w:val="both"/>
        <w:rPr>
          <w:sz w:val="28"/>
          <w:szCs w:val="28"/>
          <w:lang w:val="it-IT"/>
        </w:rPr>
      </w:pPr>
      <w:r>
        <w:rPr>
          <w:sz w:val="28"/>
          <w:szCs w:val="28"/>
          <w:lang w:val="it-IT"/>
        </w:rPr>
        <w:t>a) Điều kiện đăng ký làm đồ án, khoá luận tốt nghiệp: tại thời điểm đăng ký sinh viên chỉ còn nợ tối đa 8 tín chỉ với hệ đại học, 6 tín chỉ với hệ cao đẳng của những học phần không phải chuyên ngành (ngoại trừ các học phần đang hoàn thiện trong kỳ học hiện tại, thực tập tốt nghiệp và chính đ</w:t>
      </w:r>
      <w:r>
        <w:rPr>
          <w:sz w:val="28"/>
          <w:lang w:val="it-IT"/>
        </w:rPr>
        <w:t>ồ</w:t>
      </w:r>
      <w:r>
        <w:rPr>
          <w:sz w:val="28"/>
          <w:szCs w:val="28"/>
          <w:lang w:val="it-IT"/>
        </w:rPr>
        <w:t xml:space="preserve"> án, khóa luận tốt nghiệp). Ngoài ra, thủ tục đăng ký giống như các học phần bình thường (kèm theo các điều kiện ràng buộc riêng của từng chương trình đào tạo).</w:t>
      </w:r>
    </w:p>
    <w:p w:rsidR="009763B4" w:rsidRDefault="009763B4" w:rsidP="009763B4">
      <w:pPr>
        <w:spacing w:before="120"/>
        <w:ind w:firstLine="567"/>
        <w:jc w:val="both"/>
        <w:rPr>
          <w:sz w:val="28"/>
          <w:szCs w:val="28"/>
          <w:lang w:val="it-IT"/>
        </w:rPr>
      </w:pPr>
      <w:r>
        <w:rPr>
          <w:sz w:val="28"/>
          <w:szCs w:val="28"/>
          <w:lang w:val="it-IT"/>
        </w:rPr>
        <w:t>b) Điều kiện nhận đồ án, khóa luận tốt nghiệp: tại thời điểm xét tư cách nhận đồ án, khóa luận tốt nghiệp, sinh viên chỉ còn nợ tối đa 8 tín chỉ với hệ đại học, 6 tín chỉ với hệ cao đẳng của những học phần không phải là điều kiện tiên quyết của đồ án, khóa luận tốt nghiệp. Sinh viên cần đăng ký học bổ sung những học phần này trong học kỳ làm đồ án, khóa luận tốt nghiệp để hoàn thiện chương trình đào tạo.</w:t>
      </w:r>
    </w:p>
    <w:p w:rsidR="009763B4" w:rsidRDefault="009763B4" w:rsidP="009763B4">
      <w:pPr>
        <w:spacing w:before="120"/>
        <w:ind w:firstLine="567"/>
        <w:jc w:val="both"/>
        <w:rPr>
          <w:sz w:val="28"/>
          <w:szCs w:val="28"/>
          <w:lang w:val="it-IT"/>
        </w:rPr>
      </w:pPr>
      <w:r>
        <w:rPr>
          <w:sz w:val="28"/>
          <w:szCs w:val="28"/>
          <w:lang w:val="it-IT"/>
        </w:rPr>
        <w:t>Sinh viên các ngành kinh tế, ngoại ngữ điều kiện để nhận khóa luận tốt nghiệp ngoài các điều kiện nêu trên còn cần thêm các điều kiện sau:</w:t>
      </w:r>
    </w:p>
    <w:p w:rsidR="009763B4" w:rsidRDefault="009763B4" w:rsidP="009763B4">
      <w:pPr>
        <w:spacing w:before="120"/>
        <w:ind w:firstLine="567"/>
        <w:jc w:val="both"/>
        <w:rPr>
          <w:color w:val="000000"/>
          <w:sz w:val="28"/>
          <w:szCs w:val="28"/>
          <w:lang w:val="it-IT"/>
        </w:rPr>
      </w:pPr>
      <w:r>
        <w:rPr>
          <w:sz w:val="28"/>
          <w:szCs w:val="28"/>
          <w:lang w:val="it-IT"/>
        </w:rPr>
        <w:t xml:space="preserve">+ Có điểm TBCTL (bao gồm cả điểm chuyên đề tốt nghiệp) ≥ </w:t>
      </w:r>
      <w:r>
        <w:rPr>
          <w:color w:val="000000"/>
          <w:sz w:val="28"/>
          <w:szCs w:val="28"/>
          <w:lang w:val="it-IT"/>
        </w:rPr>
        <w:t>2,50.</w:t>
      </w:r>
    </w:p>
    <w:p w:rsidR="009763B4" w:rsidRDefault="009763B4" w:rsidP="009763B4">
      <w:pPr>
        <w:spacing w:before="120"/>
        <w:ind w:firstLine="567"/>
        <w:jc w:val="both"/>
        <w:rPr>
          <w:sz w:val="28"/>
          <w:szCs w:val="28"/>
          <w:lang w:val="it-IT"/>
        </w:rPr>
      </w:pPr>
      <w:r>
        <w:rPr>
          <w:sz w:val="28"/>
          <w:szCs w:val="28"/>
          <w:lang w:val="it-IT"/>
        </w:rPr>
        <w:t>+ Điểm chuyên đề hoặc thực tập tốt nghiệp ≥ 3,00.</w:t>
      </w:r>
    </w:p>
    <w:p w:rsidR="009763B4" w:rsidRDefault="009763B4" w:rsidP="009763B4">
      <w:pPr>
        <w:spacing w:before="120"/>
        <w:ind w:firstLine="567"/>
        <w:jc w:val="both"/>
        <w:rPr>
          <w:sz w:val="28"/>
          <w:szCs w:val="28"/>
          <w:lang w:val="it-IT"/>
        </w:rPr>
      </w:pPr>
      <w:r>
        <w:rPr>
          <w:sz w:val="28"/>
          <w:szCs w:val="28"/>
          <w:lang w:val="it-IT"/>
        </w:rPr>
        <w:t>+ Đối với các sinh viên không phải chuyên ngữ, nếu làm khóa luận bằng tiếng Anh cần có thêm điều kiện điểm trung bình tất cả các học phần tiếng Anh phải ≥ 3,00.</w:t>
      </w:r>
    </w:p>
    <w:p w:rsidR="009763B4" w:rsidRDefault="009763B4" w:rsidP="009763B4">
      <w:pPr>
        <w:pStyle w:val="BodyText"/>
        <w:spacing w:before="120" w:after="120"/>
        <w:ind w:firstLine="567"/>
        <w:jc w:val="both"/>
        <w:rPr>
          <w:sz w:val="28"/>
          <w:szCs w:val="28"/>
          <w:lang w:val="it-IT"/>
        </w:rPr>
      </w:pPr>
      <w:r>
        <w:rPr>
          <w:sz w:val="28"/>
          <w:szCs w:val="28"/>
          <w:lang w:val="it-IT"/>
        </w:rPr>
        <w:lastRenderedPageBreak/>
        <w:t>c) Học và thi một số học phần chuyên môn: sinh viên không đủ điều kiện làm đồ án, khoá luận tốt nghiệp phải đăng ký học thêm một số học phần chuyên môn, để tích lũy đủ số tín chỉ quy định cho chương trình. Các học phần chuyên môn này được quy định trong chương trình đào tạo.</w:t>
      </w:r>
    </w:p>
    <w:p w:rsidR="009763B4" w:rsidRDefault="009763B4" w:rsidP="009763B4">
      <w:pPr>
        <w:pStyle w:val="BodyText"/>
        <w:spacing w:before="120" w:after="120"/>
        <w:ind w:firstLine="567"/>
        <w:jc w:val="both"/>
        <w:rPr>
          <w:sz w:val="28"/>
          <w:szCs w:val="28"/>
          <w:lang w:val="it-IT"/>
        </w:rPr>
      </w:pPr>
      <w:r>
        <w:rPr>
          <w:sz w:val="28"/>
          <w:szCs w:val="28"/>
          <w:lang w:val="it-IT"/>
        </w:rPr>
        <w:t>2. Đồ án, khoá luận tốt nghiệp là học phần có khối lượng không quá 10 tín chỉ cho trình độ đại học và 5 tín chỉ cho trình độ cao đẳng.</w:t>
      </w:r>
    </w:p>
    <w:p w:rsidR="009763B4" w:rsidRDefault="009763B4" w:rsidP="009763B4">
      <w:pPr>
        <w:pStyle w:val="BodyText"/>
        <w:spacing w:before="120" w:after="120"/>
        <w:ind w:firstLine="567"/>
        <w:jc w:val="both"/>
        <w:rPr>
          <w:sz w:val="28"/>
          <w:szCs w:val="28"/>
          <w:lang w:val="it-IT"/>
        </w:rPr>
      </w:pPr>
      <w:r>
        <w:rPr>
          <w:sz w:val="28"/>
          <w:szCs w:val="28"/>
          <w:lang w:val="it-IT"/>
        </w:rPr>
        <w:t>3. Thời gian để làm đồ án, khóa luận tốt nghiệp có thể kết hợp với thời gian thực tập chuyên môn cuối khóa và tối đa là 15 tuần đối với hệ đào tạo từ 4,5 năm trở xuống và 20 tuần vời hệ đào tạo 5 năm.</w:t>
      </w:r>
    </w:p>
    <w:p w:rsidR="009763B4" w:rsidRDefault="009763B4" w:rsidP="009763B4">
      <w:pPr>
        <w:pStyle w:val="BodyText"/>
        <w:spacing w:before="120" w:after="120"/>
        <w:ind w:firstLine="567"/>
        <w:jc w:val="both"/>
        <w:rPr>
          <w:sz w:val="28"/>
          <w:szCs w:val="28"/>
          <w:lang w:val="it-IT"/>
        </w:rPr>
      </w:pPr>
      <w:r>
        <w:rPr>
          <w:sz w:val="28"/>
          <w:szCs w:val="28"/>
          <w:lang w:val="it-IT"/>
        </w:rPr>
        <w:t>4. Quy định về giảng viên tham gia hướng dẫn đồ án, khóa luận tốt nghiệp:</w:t>
      </w:r>
    </w:p>
    <w:p w:rsidR="009763B4" w:rsidRDefault="009763B4" w:rsidP="009763B4">
      <w:pPr>
        <w:pStyle w:val="BodyText"/>
        <w:spacing w:before="120" w:after="120"/>
        <w:ind w:firstLine="567"/>
        <w:jc w:val="both"/>
        <w:rPr>
          <w:sz w:val="28"/>
          <w:szCs w:val="28"/>
          <w:lang w:val="it-IT"/>
        </w:rPr>
      </w:pPr>
      <w:r>
        <w:rPr>
          <w:sz w:val="28"/>
          <w:szCs w:val="28"/>
          <w:lang w:val="it-IT"/>
        </w:rPr>
        <w:t>a) Giảng viên đã tham gia giảng dạy các học phần chuyên ngành trên 5 năm, hoặc có bằng thạc sĩ được đào tạo đúng chuyên ngành và tham gia giảng dạy ít nhất 3 năm các học phần chuyên ngành, hoặc có bằng tiến sỹ đúng chuyên ngành.</w:t>
      </w:r>
    </w:p>
    <w:p w:rsidR="009763B4" w:rsidRDefault="009763B4" w:rsidP="009763B4">
      <w:pPr>
        <w:pStyle w:val="BodyText"/>
        <w:spacing w:before="120" w:after="120"/>
        <w:ind w:firstLine="567"/>
        <w:jc w:val="both"/>
        <w:rPr>
          <w:sz w:val="28"/>
          <w:szCs w:val="28"/>
          <w:lang w:val="it-IT"/>
        </w:rPr>
      </w:pPr>
      <w:r>
        <w:rPr>
          <w:sz w:val="28"/>
          <w:szCs w:val="28"/>
          <w:lang w:val="it-IT"/>
        </w:rPr>
        <w:t>b) Mỗi giảng viên hướng dẫn không quá 6 đồ án, khoá luận tốt nghiệp. Với trường hợp đồ án tốt nghiệp cần có 2 người hướng dẫn chính (hướng dẫn từng phần), thì mỗi người hướng dẫn không quá 12 đồ án tốt nghiệp.</w:t>
      </w:r>
    </w:p>
    <w:p w:rsidR="009763B4" w:rsidRDefault="009763B4" w:rsidP="009763B4">
      <w:pPr>
        <w:spacing w:before="120"/>
        <w:ind w:firstLine="567"/>
        <w:jc w:val="both"/>
        <w:rPr>
          <w:sz w:val="28"/>
          <w:szCs w:val="28"/>
          <w:lang w:val="it-IT"/>
        </w:rPr>
      </w:pPr>
      <w:r>
        <w:rPr>
          <w:sz w:val="28"/>
          <w:szCs w:val="28"/>
          <w:lang w:val="it-IT"/>
        </w:rPr>
        <w:t>c) Trường hợp không đủ giảng viên hướng dẫn, kể cả mời ngoài Trường, căn cứ vào điểm trung bình chung tích lũy toàn khoá học của sinh viên, Trưởng khoa/trung tâm xác định danh sách sinh viên được làm đồ án, khoá luận tốt nghiệp trình Hiệu trưởng quyết định.</w:t>
      </w:r>
    </w:p>
    <w:p w:rsidR="007507B6" w:rsidRDefault="007507B6" w:rsidP="007507B6">
      <w:pPr>
        <w:spacing w:before="240" w:after="240"/>
        <w:ind w:firstLine="567"/>
        <w:jc w:val="both"/>
        <w:rPr>
          <w:b/>
          <w:bCs/>
          <w:sz w:val="28"/>
          <w:szCs w:val="28"/>
        </w:rPr>
      </w:pPr>
      <w:bookmarkStart w:id="0" w:name="_GoBack"/>
      <w:bookmarkEnd w:id="0"/>
    </w:p>
    <w:sectPr w:rsidR="007507B6"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B6"/>
    <w:rsid w:val="0044421E"/>
    <w:rsid w:val="006439A1"/>
    <w:rsid w:val="007507B6"/>
    <w:rsid w:val="007E6EB7"/>
    <w:rsid w:val="0097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63B4"/>
    <w:pPr>
      <w:spacing w:after="0" w:line="240" w:lineRule="auto"/>
      <w:jc w:val="center"/>
    </w:pPr>
    <w:rPr>
      <w:rFonts w:eastAsia="Times New Roman"/>
      <w:sz w:val="24"/>
      <w:szCs w:val="24"/>
    </w:rPr>
  </w:style>
  <w:style w:type="character" w:customStyle="1" w:styleId="BodyTextChar">
    <w:name w:val="Body Text Char"/>
    <w:basedOn w:val="DefaultParagraphFont"/>
    <w:link w:val="BodyText"/>
    <w:semiHidden/>
    <w:rsid w:val="009763B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63B4"/>
    <w:pPr>
      <w:spacing w:after="0" w:line="240" w:lineRule="auto"/>
      <w:jc w:val="center"/>
    </w:pPr>
    <w:rPr>
      <w:rFonts w:eastAsia="Times New Roman"/>
      <w:sz w:val="24"/>
      <w:szCs w:val="24"/>
    </w:rPr>
  </w:style>
  <w:style w:type="character" w:customStyle="1" w:styleId="BodyTextChar">
    <w:name w:val="Body Text Char"/>
    <w:basedOn w:val="DefaultParagraphFont"/>
    <w:link w:val="BodyText"/>
    <w:semiHidden/>
    <w:rsid w:val="009763B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4818">
      <w:bodyDiv w:val="1"/>
      <w:marLeft w:val="0"/>
      <w:marRight w:val="0"/>
      <w:marTop w:val="0"/>
      <w:marBottom w:val="0"/>
      <w:divBdr>
        <w:top w:val="none" w:sz="0" w:space="0" w:color="auto"/>
        <w:left w:val="none" w:sz="0" w:space="0" w:color="auto"/>
        <w:bottom w:val="none" w:sz="0" w:space="0" w:color="auto"/>
        <w:right w:val="none" w:sz="0" w:space="0" w:color="auto"/>
      </w:divBdr>
    </w:div>
    <w:div w:id="1718436455">
      <w:bodyDiv w:val="1"/>
      <w:marLeft w:val="0"/>
      <w:marRight w:val="0"/>
      <w:marTop w:val="0"/>
      <w:marBottom w:val="0"/>
      <w:divBdr>
        <w:top w:val="none" w:sz="0" w:space="0" w:color="auto"/>
        <w:left w:val="none" w:sz="0" w:space="0" w:color="auto"/>
        <w:bottom w:val="none" w:sz="0" w:space="0" w:color="auto"/>
        <w:right w:val="none" w:sz="0" w:space="0" w:color="auto"/>
      </w:divBdr>
    </w:div>
    <w:div w:id="1962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3</cp:revision>
  <dcterms:created xsi:type="dcterms:W3CDTF">2015-01-27T14:47:00Z</dcterms:created>
  <dcterms:modified xsi:type="dcterms:W3CDTF">2015-01-27T14:50:00Z</dcterms:modified>
</cp:coreProperties>
</file>